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ED" w:rsidRPr="002D1FED" w:rsidRDefault="002D1FED" w:rsidP="002D1FED">
      <w:pPr>
        <w:pStyle w:val="Prrafodelista"/>
        <w:ind w:hanging="360"/>
        <w:jc w:val="center"/>
        <w:rPr>
          <w:b/>
        </w:rPr>
      </w:pPr>
      <w:r w:rsidRPr="002D1FED">
        <w:rPr>
          <w:b/>
        </w:rPr>
        <w:t>TEMARIO</w:t>
      </w:r>
    </w:p>
    <w:p w:rsidR="002D1FED" w:rsidRPr="002D1FED" w:rsidRDefault="002D1FED" w:rsidP="002D1FED">
      <w:pPr>
        <w:pStyle w:val="Prrafodelista"/>
        <w:ind w:hanging="360"/>
        <w:jc w:val="center"/>
        <w:rPr>
          <w:b/>
        </w:rPr>
      </w:pPr>
      <w:bookmarkStart w:id="0" w:name="_GoBack"/>
      <w:bookmarkEnd w:id="0"/>
      <w:r w:rsidRPr="002D1FED">
        <w:rPr>
          <w:b/>
        </w:rPr>
        <w:t>ADMINISTRADOR DE LIBRERÍA</w:t>
      </w:r>
    </w:p>
    <w:p w:rsidR="002D1FED" w:rsidRDefault="002D1FED" w:rsidP="002D1FED">
      <w:pPr>
        <w:pStyle w:val="Prrafodelista"/>
        <w:ind w:hanging="360"/>
      </w:pPr>
    </w:p>
    <w:p w:rsidR="002D1FED" w:rsidRDefault="002D1FED" w:rsidP="002D1FED">
      <w:pPr>
        <w:pStyle w:val="Prrafodelista"/>
        <w:ind w:hanging="360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Planeación Estratégica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a.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 xml:space="preserve">Plan de Desarrollo Institucional </w:t>
      </w:r>
      <w:r>
        <w:rPr>
          <w:b/>
          <w:bCs/>
          <w:color w:val="44546A"/>
        </w:rPr>
        <w:t>(archivo adjunto)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b.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>Plan de Desarrollo del Departamento de Promoción Financiera (</w:t>
      </w:r>
      <w:r>
        <w:rPr>
          <w:b/>
          <w:bCs/>
          <w:color w:val="44546A"/>
        </w:rPr>
        <w:t>archivo adjunto)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c.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 xml:space="preserve">Plan de Negocios de Librerías ITSON </w:t>
      </w:r>
      <w:r>
        <w:rPr>
          <w:b/>
          <w:bCs/>
          <w:color w:val="44546A"/>
        </w:rPr>
        <w:t>(archivo adjunto)</w:t>
      </w:r>
    </w:p>
    <w:p w:rsidR="002D1FED" w:rsidRDefault="002D1FED" w:rsidP="002D1FED">
      <w:pPr>
        <w:pStyle w:val="Prrafodelista"/>
        <w:ind w:hanging="360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Administración de Proyectos </w:t>
      </w:r>
      <w:r>
        <w:rPr>
          <w:b/>
          <w:bCs/>
          <w:color w:val="44546A"/>
        </w:rPr>
        <w:t>(Información general que pueden encontrar en diversa bibliografía)</w:t>
      </w:r>
    </w:p>
    <w:p w:rsidR="002D1FED" w:rsidRDefault="002D1FED" w:rsidP="002D1FED">
      <w:pPr>
        <w:pStyle w:val="Prrafodelista"/>
        <w:ind w:hanging="360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Enfoque basado en Procesos 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a.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 xml:space="preserve">Proceso de Abastecimiento </w:t>
      </w:r>
      <w:r>
        <w:rPr>
          <w:b/>
          <w:bCs/>
          <w:color w:val="44546A"/>
        </w:rPr>
        <w:t xml:space="preserve">(Información general que pueden encontrar en diversa bibliografía)/ Procedimiento relacionado en </w:t>
      </w:r>
      <w:hyperlink r:id="rId5" w:history="1">
        <w:r>
          <w:rPr>
            <w:rStyle w:val="Hipervnculo"/>
          </w:rPr>
          <w:t>http://sgc.itson.mx/</w:t>
        </w:r>
      </w:hyperlink>
      <w:r>
        <w:t>.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b.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>Control de Inventarios  </w:t>
      </w:r>
      <w:r>
        <w:rPr>
          <w:b/>
          <w:bCs/>
          <w:color w:val="44546A"/>
        </w:rPr>
        <w:t xml:space="preserve">(Información general que pueden encontrar en diversa bibliografía)/ Procedimiento relacionado en </w:t>
      </w:r>
      <w:hyperlink r:id="rId6" w:history="1">
        <w:r>
          <w:rPr>
            <w:rStyle w:val="Hipervnculo"/>
          </w:rPr>
          <w:t>http://sgc.itson.mx/</w:t>
        </w:r>
      </w:hyperlink>
      <w:r>
        <w:t>.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c.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 xml:space="preserve">Proceso de Ventas </w:t>
      </w:r>
      <w:r>
        <w:rPr>
          <w:b/>
          <w:bCs/>
          <w:color w:val="44546A"/>
        </w:rPr>
        <w:t xml:space="preserve">(Información general que pueden encontrar en diversa bibliografía)/ Procedimiento relacionado en </w:t>
      </w:r>
      <w:hyperlink r:id="rId7" w:history="1">
        <w:r>
          <w:rPr>
            <w:rStyle w:val="Hipervnculo"/>
          </w:rPr>
          <w:t>http://sgc.itson.mx/</w:t>
        </w:r>
      </w:hyperlink>
      <w:r>
        <w:t>.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d.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 xml:space="preserve">Procesos Contables y </w:t>
      </w:r>
      <w:proofErr w:type="gramStart"/>
      <w:r>
        <w:t>Administrativos</w:t>
      </w:r>
      <w:r>
        <w:rPr>
          <w:b/>
          <w:bCs/>
          <w:color w:val="44546A"/>
        </w:rPr>
        <w:t>(</w:t>
      </w:r>
      <w:proofErr w:type="gramEnd"/>
      <w:r>
        <w:rPr>
          <w:b/>
          <w:bCs/>
          <w:color w:val="44546A"/>
        </w:rPr>
        <w:t xml:space="preserve">Información general que pueden encontrar en diversa bibliografía)/ Procedimiento relacionado en </w:t>
      </w:r>
      <w:hyperlink r:id="rId8" w:history="1">
        <w:r>
          <w:rPr>
            <w:rStyle w:val="Hipervnculo"/>
          </w:rPr>
          <w:t>http://sgc.itson.mx/</w:t>
        </w:r>
      </w:hyperlink>
      <w:r>
        <w:t>.</w:t>
      </w:r>
    </w:p>
    <w:p w:rsidR="002D1FED" w:rsidRDefault="002D1FED" w:rsidP="002D1FED">
      <w:pPr>
        <w:pStyle w:val="Prrafodelista"/>
        <w:ind w:hanging="360"/>
      </w:pPr>
      <w:r>
        <w:t>4.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Manejo de Sistemas de Apoyo para Administrar Librerías ITSON</w:t>
      </w:r>
    </w:p>
    <w:p w:rsidR="002D1FED" w:rsidRDefault="002D1FED" w:rsidP="002D1FED">
      <w:pPr>
        <w:pStyle w:val="Prrafodelista"/>
        <w:ind w:left="1440" w:hanging="360"/>
        <w:rPr>
          <w:b/>
          <w:bCs/>
          <w:color w:val="44546A"/>
        </w:rPr>
      </w:pPr>
      <w:r>
        <w:rPr>
          <w:b/>
          <w:bCs/>
          <w:color w:val="000000"/>
        </w:rPr>
        <w:t>a.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       </w:t>
      </w:r>
      <w:r>
        <w:t xml:space="preserve">JDE </w:t>
      </w:r>
      <w:r>
        <w:rPr>
          <w:b/>
          <w:bCs/>
          <w:color w:val="44546A"/>
        </w:rPr>
        <w:t>(Instrucciones de trabajo que pueden obtener del CICA-Procesos certificados de ITSON)</w:t>
      </w:r>
    </w:p>
    <w:p w:rsidR="002D1FED" w:rsidRDefault="002D1FED" w:rsidP="002D1FED">
      <w:pPr>
        <w:pStyle w:val="Prrafodelista"/>
        <w:ind w:left="1440" w:hanging="360"/>
        <w:rPr>
          <w:color w:val="44546A"/>
        </w:rPr>
      </w:pPr>
      <w:r>
        <w:rPr>
          <w:color w:val="000000"/>
        </w:rPr>
        <w:t>b.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 xml:space="preserve">Facturación </w:t>
      </w:r>
      <w:r>
        <w:rPr>
          <w:b/>
          <w:bCs/>
          <w:color w:val="44546A"/>
        </w:rPr>
        <w:t>(Instrucciones de trabajo que pueden obtener del CICA-Procesos certificados de ITSON)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c.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 xml:space="preserve">Sistema de Comercialización (SISCOM) </w:t>
      </w:r>
      <w:r>
        <w:rPr>
          <w:b/>
          <w:bCs/>
          <w:color w:val="44546A"/>
        </w:rPr>
        <w:t xml:space="preserve">Instrucción de Trabajo relacionada en </w:t>
      </w:r>
      <w:hyperlink r:id="rId9" w:history="1">
        <w:r>
          <w:rPr>
            <w:rStyle w:val="Hipervnculo"/>
          </w:rPr>
          <w:t>http://sgc.itson.mx/</w:t>
        </w:r>
      </w:hyperlink>
      <w:r>
        <w:t>.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d.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 xml:space="preserve">Sistema BONO </w:t>
      </w:r>
      <w:r>
        <w:rPr>
          <w:b/>
          <w:bCs/>
          <w:color w:val="44546A"/>
        </w:rPr>
        <w:t xml:space="preserve">Instrucción de Trabajo relacionada en </w:t>
      </w:r>
      <w:hyperlink r:id="rId10" w:history="1">
        <w:r>
          <w:rPr>
            <w:rStyle w:val="Hipervnculo"/>
          </w:rPr>
          <w:t>http://sgc.itson.mx/</w:t>
        </w:r>
      </w:hyperlink>
      <w:r>
        <w:t>.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e.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 xml:space="preserve">Sistema de Préstamos </w:t>
      </w:r>
      <w:r>
        <w:rPr>
          <w:b/>
          <w:bCs/>
          <w:color w:val="44546A"/>
        </w:rPr>
        <w:t>(Instrucciones de trabajo que pueden obtener del CICA -Procesos certificados de ITSON)</w:t>
      </w:r>
    </w:p>
    <w:p w:rsidR="002D1FED" w:rsidRDefault="002D1FED" w:rsidP="002D1FED">
      <w:pPr>
        <w:pStyle w:val="Prrafodelista"/>
        <w:ind w:hanging="360"/>
      </w:pPr>
      <w:r>
        <w:t>5.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 xml:space="preserve">Leyes y Reglamentos Aplicables 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a.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>Ley de Protección Civil para el Estado de Sonora. (</w:t>
      </w:r>
      <w:hyperlink r:id="rId11" w:history="1">
        <w:r>
          <w:rPr>
            <w:rStyle w:val="Hipervnculo"/>
          </w:rPr>
          <w:t>http://www.proteccioncivil.sonora.gob.mx</w:t>
        </w:r>
      </w:hyperlink>
      <w:r>
        <w:t>)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b.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>Ley Federal de Protección de Datos Personales en Posesión de los Particulares. (</w:t>
      </w:r>
      <w:hyperlink r:id="rId12" w:history="1">
        <w:r>
          <w:rPr>
            <w:rStyle w:val="Hipervnculo"/>
          </w:rPr>
          <w:t>https://www.gob.mx</w:t>
        </w:r>
      </w:hyperlink>
      <w:r>
        <w:t xml:space="preserve">) 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c.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>Ley federal de derechos de autor. (</w:t>
      </w:r>
      <w:hyperlink r:id="rId13" w:history="1">
        <w:r>
          <w:rPr>
            <w:rStyle w:val="Hipervnculo"/>
          </w:rPr>
          <w:t>http://www.dof.gob.mx</w:t>
        </w:r>
      </w:hyperlink>
      <w:r>
        <w:t xml:space="preserve">) </w:t>
      </w:r>
    </w:p>
    <w:p w:rsidR="002D1FED" w:rsidRDefault="002D1FED" w:rsidP="002D1FED">
      <w:pPr>
        <w:pStyle w:val="Prrafodelista"/>
        <w:ind w:left="1440" w:hanging="360"/>
      </w:pPr>
      <w:r>
        <w:rPr>
          <w:color w:val="000000"/>
        </w:rPr>
        <w:t>d.</w:t>
      </w:r>
      <w:r>
        <w:rPr>
          <w:rFonts w:ascii="Times New Roman" w:hAnsi="Times New Roman"/>
          <w:color w:val="000000"/>
          <w:sz w:val="14"/>
          <w:szCs w:val="14"/>
        </w:rPr>
        <w:t xml:space="preserve">       </w:t>
      </w:r>
      <w:r>
        <w:t>Reglamento de Adquisiciones, Arrendamientos y Contratación de Servicios del Instituto Tecnológico de Sonora. (</w:t>
      </w:r>
      <w:hyperlink r:id="rId14" w:history="1">
        <w:r>
          <w:rPr>
            <w:rStyle w:val="Hipervnculo"/>
          </w:rPr>
          <w:t>https://www.itson.mx</w:t>
        </w:r>
      </w:hyperlink>
      <w:r>
        <w:t xml:space="preserve">) </w:t>
      </w:r>
    </w:p>
    <w:p w:rsidR="002D1FED" w:rsidRDefault="002D1FED" w:rsidP="002D1FED">
      <w:pPr>
        <w:pStyle w:val="Prrafodelista"/>
        <w:ind w:hanging="360"/>
      </w:pPr>
      <w:r>
        <w:t>6.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Requerimientos para el establecimiento emitidas por PROFECO. (</w:t>
      </w:r>
      <w:hyperlink r:id="rId15" w:history="1">
        <w:r>
          <w:rPr>
            <w:rStyle w:val="Hipervnculo"/>
          </w:rPr>
          <w:t>https://www.gob.mx/profeco</w:t>
        </w:r>
      </w:hyperlink>
      <w:r>
        <w:t>)</w:t>
      </w:r>
    </w:p>
    <w:p w:rsidR="002D1FED" w:rsidRDefault="002D1FED" w:rsidP="002D1FED">
      <w:pPr>
        <w:pStyle w:val="Prrafodelista"/>
        <w:ind w:hanging="360"/>
      </w:pPr>
      <w:r>
        <w:t>7.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Guía para uso de identidad ITSON (</w:t>
      </w:r>
      <w:hyperlink r:id="rId16" w:history="1">
        <w:r>
          <w:rPr>
            <w:rStyle w:val="Hipervnculo"/>
          </w:rPr>
          <w:t>https://www.itson.mx/micrositios/identidad/Paginas/identidad.aspx</w:t>
        </w:r>
      </w:hyperlink>
      <w:r>
        <w:t>)</w:t>
      </w:r>
    </w:p>
    <w:p w:rsidR="002D1FED" w:rsidRDefault="002D1FED" w:rsidP="002D1FED">
      <w:pPr>
        <w:pStyle w:val="Prrafodelista"/>
        <w:ind w:hanging="360"/>
      </w:pPr>
      <w:r>
        <w:lastRenderedPageBreak/>
        <w:t>8.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Manual de Marca ITSON (</w:t>
      </w:r>
      <w:hyperlink r:id="rId17" w:history="1">
        <w:r>
          <w:rPr>
            <w:rStyle w:val="Hipervnculo"/>
          </w:rPr>
          <w:t>https://www.itson.mx/micrositios/identidad/Paginas/identidad.aspx</w:t>
        </w:r>
      </w:hyperlink>
      <w:r>
        <w:t>)</w:t>
      </w:r>
    </w:p>
    <w:p w:rsidR="002D1FED" w:rsidRDefault="002D1FED" w:rsidP="002D1FED">
      <w:pPr>
        <w:pStyle w:val="Prrafodelista"/>
        <w:ind w:hanging="360"/>
      </w:pPr>
      <w:r>
        <w:t>9.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Manual de Potros ITSON (</w:t>
      </w:r>
      <w:hyperlink r:id="rId18" w:history="1">
        <w:r>
          <w:rPr>
            <w:rStyle w:val="Hipervnculo"/>
          </w:rPr>
          <w:t>https://www.itson.mx/micrositios/identidad/Paginas/identidad.aspx</w:t>
        </w:r>
      </w:hyperlink>
      <w:r>
        <w:t>)</w:t>
      </w:r>
    </w:p>
    <w:p w:rsidR="002D1FED" w:rsidRDefault="002D1FED" w:rsidP="002D1FED">
      <w:pPr>
        <w:pStyle w:val="Prrafodelista"/>
        <w:ind w:hanging="360"/>
      </w:pPr>
      <w:r>
        <w:t>10.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t>ITSON Monograma (</w:t>
      </w:r>
      <w:hyperlink r:id="rId19" w:history="1">
        <w:r>
          <w:rPr>
            <w:rStyle w:val="Hipervnculo"/>
          </w:rPr>
          <w:t>https://www.itson.mx/micrositios/identidad/Paginas/identidad.aspx</w:t>
        </w:r>
      </w:hyperlink>
      <w:r>
        <w:t>)</w:t>
      </w:r>
    </w:p>
    <w:p w:rsidR="00B00CF3" w:rsidRDefault="00B00CF3"/>
    <w:sectPr w:rsidR="00B00C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ED"/>
    <w:rsid w:val="002D1FED"/>
    <w:rsid w:val="00B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1FED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D1FED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1FED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D1FED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gc.itson.mx/" TargetMode="External"/><Relationship Id="rId13" Type="http://schemas.openxmlformats.org/officeDocument/2006/relationships/hyperlink" Target="http://www.dof.gob.mx" TargetMode="External"/><Relationship Id="rId18" Type="http://schemas.openxmlformats.org/officeDocument/2006/relationships/hyperlink" Target="https://www.itson.mx/micrositios/identidad/Paginas/identidad.asp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gc.itson.mx/" TargetMode="External"/><Relationship Id="rId12" Type="http://schemas.openxmlformats.org/officeDocument/2006/relationships/hyperlink" Target="https://www.gob.mx" TargetMode="External"/><Relationship Id="rId17" Type="http://schemas.openxmlformats.org/officeDocument/2006/relationships/hyperlink" Target="https://www.itson.mx/micrositios/identidad/Paginas/identidad.asp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tson.mx/micrositios/identidad/Paginas/identidad.asp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gc.itson.mx/" TargetMode="External"/><Relationship Id="rId11" Type="http://schemas.openxmlformats.org/officeDocument/2006/relationships/hyperlink" Target="http://www.proteccioncivil.sonora.gob.mx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://sgc.itson.mx/" TargetMode="External"/><Relationship Id="rId15" Type="http://schemas.openxmlformats.org/officeDocument/2006/relationships/hyperlink" Target="https://www.gob.mx/profeco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sgc.itson.mx/" TargetMode="External"/><Relationship Id="rId19" Type="http://schemas.openxmlformats.org/officeDocument/2006/relationships/hyperlink" Target="https://www.itson.mx/micrositios/identidad/Paginas/identidad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gc.itson.mx/" TargetMode="External"/><Relationship Id="rId14" Type="http://schemas.openxmlformats.org/officeDocument/2006/relationships/hyperlink" Target="https://www.itson.mx/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1D0F5F48BB2B4DB340AD23F3F59D79" ma:contentTypeVersion="1" ma:contentTypeDescription="Crear nuevo documento." ma:contentTypeScope="" ma:versionID="e8f78d07d6a6d72b8124ea138aac860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B8909A-FDFC-42F4-AD0D-F2F8A9FB5233}"/>
</file>

<file path=customXml/itemProps2.xml><?xml version="1.0" encoding="utf-8"?>
<ds:datastoreItem xmlns:ds="http://schemas.openxmlformats.org/officeDocument/2006/customXml" ds:itemID="{3C82F401-6E9E-46C1-83B2-E9FAA1111A92}"/>
</file>

<file path=customXml/itemProps3.xml><?xml version="1.0" encoding="utf-8"?>
<ds:datastoreItem xmlns:ds="http://schemas.openxmlformats.org/officeDocument/2006/customXml" ds:itemID="{ABF0E109-CEA2-4428-9F04-1EEACF349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Xochitl Cordova</dc:creator>
  <cp:lastModifiedBy>Xochitl Cordova</cp:lastModifiedBy>
  <cp:revision>1</cp:revision>
  <dcterms:created xsi:type="dcterms:W3CDTF">2019-12-18T22:17:00Z</dcterms:created>
  <dcterms:modified xsi:type="dcterms:W3CDTF">2019-12-18T22:20:00Z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0x010100031D0F5F48BB2B4DB340AD23F3F59D79</vt:lpwstr>
  </property>
</Properties>
</file>